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contextualSpacing w:val="0"/>
        <w:jc w:val="center"/>
      </w:pPr>
      <w:bookmarkStart w:id="0" w:colFirst="0" w:name="h.gjdgxs" w:colLast="0"/>
      <w:bookmarkEnd w:id="0"/>
      <w:r w:rsidRPr="00000000" w:rsidR="00000000" w:rsidDel="00000000">
        <w:rPr>
          <w:rFonts w:cs="Times New Roman" w:hAnsi="Times New Roman" w:eastAsia="Times New Roman" w:ascii="Times New Roman"/>
          <w:b w:val="1"/>
          <w:sz w:val="24"/>
          <w:u w:val="single"/>
          <w:vertAlign w:val="baseline"/>
          <w:rtl w:val="0"/>
        </w:rPr>
        <w:t xml:space="preserve">Report to the Board</w:t>
      </w:r>
      <w:r w:rsidRPr="00000000" w:rsidR="00000000" w:rsidDel="00000000">
        <w:rPr>
          <w:rtl w:val="0"/>
        </w:rPr>
      </w:r>
    </w:p>
    <w:p w:rsidP="00000000" w:rsidRPr="00000000" w:rsidR="00000000" w:rsidDel="00000000" w:rsidRDefault="00000000">
      <w:pPr>
        <w:ind w:firstLine="0"/>
        <w:contextualSpacing w:val="0"/>
        <w:jc w:val="center"/>
      </w:pPr>
      <w:r w:rsidRPr="00000000" w:rsidR="00000000" w:rsidDel="00000000">
        <w:rPr>
          <w:rtl w:val="0"/>
        </w:rPr>
      </w:r>
    </w:p>
    <w:p w:rsidP="00000000" w:rsidRPr="00000000" w:rsidR="00000000" w:rsidDel="00000000" w:rsidRDefault="00000000">
      <w:pPr>
        <w:ind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_____4__ DIVISION/REGION</w:t>
      </w:r>
    </w:p>
    <w:p w:rsidP="00000000" w:rsidRPr="00000000" w:rsidR="00000000" w:rsidDel="00000000" w:rsidRDefault="00000000">
      <w:pPr>
        <w:ind w:firstLine="0"/>
        <w:contextualSpacing w:val="0"/>
      </w:pPr>
      <w:r w:rsidRPr="00000000" w:rsidR="00000000" w:rsidDel="00000000">
        <w:rPr>
          <w:rFonts w:cs="Times New Roman" w:hAnsi="Times New Roman" w:eastAsia="Times New Roman" w:ascii="Times New Roman"/>
          <w:b w:val="1"/>
          <w:sz w:val="22"/>
          <w:vertAlign w:val="baseline"/>
          <w:rtl w:val="0"/>
        </w:rPr>
        <w:t xml:space="preserve">Submitted By:</w:t>
      </w:r>
      <w:r w:rsidRPr="00000000" w:rsidR="00000000" w:rsidDel="00000000">
        <w:rPr>
          <w:rFonts w:cs="Times New Roman" w:hAnsi="Times New Roman" w:eastAsia="Times New Roman" w:ascii="Times New Roman"/>
          <w:sz w:val="22"/>
          <w:vertAlign w:val="baseline"/>
          <w:rtl w:val="0"/>
        </w:rPr>
        <w:t xml:space="preserve"> Lorri Carlile</w:t>
        <w:tab/>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Times New Roman" w:hAnsi="Times New Roman" w:eastAsia="Times New Roman" w:ascii="Times New Roman"/>
          <w:b w:val="1"/>
          <w:sz w:val="22"/>
          <w:vertAlign w:val="baseline"/>
          <w:rtl w:val="0"/>
        </w:rPr>
        <w:t xml:space="preserve">Date Submitted:</w:t>
      </w:r>
      <w:r w:rsidRPr="00000000" w:rsidR="00000000" w:rsidDel="00000000">
        <w:rPr>
          <w:rFonts w:cs="Times New Roman" w:hAnsi="Times New Roman" w:eastAsia="Times New Roman" w:ascii="Times New Roman"/>
          <w:sz w:val="22"/>
          <w:vertAlign w:val="baseline"/>
          <w:rtl w:val="0"/>
        </w:rPr>
        <w:t xml:space="preserve"> October 14, 2013</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contextualSpacing w:val="1"/>
        <w:rPr/>
      </w:pPr>
      <w:r w:rsidRPr="00000000" w:rsidR="00000000" w:rsidDel="00000000">
        <w:rPr>
          <w:rFonts w:cs="Times New Roman" w:hAnsi="Times New Roman" w:eastAsia="Times New Roman" w:ascii="Times New Roman"/>
          <w:b w:val="1"/>
          <w:sz w:val="22"/>
          <w:vertAlign w:val="baseline"/>
          <w:rtl w:val="0"/>
        </w:rPr>
        <w:t xml:space="preserve">Division/Region Accomplishments since the last report:</w:t>
      </w:r>
    </w:p>
    <w:p w:rsidP="00000000" w:rsidRPr="00000000" w:rsidR="00000000" w:rsidDel="00000000" w:rsidRDefault="00000000">
      <w:pPr>
        <w:numPr>
          <w:ilvl w:val="0"/>
          <w:numId w:val="4"/>
        </w:numPr>
        <w:spacing w:lineRule="auto" w:after="0" w:line="240" w:before="0"/>
        <w:ind w:left="720" w:hanging="359"/>
        <w:contextualSpacing w:val="1"/>
        <w:rPr>
          <w:b w:val="1"/>
          <w:sz w:val="22"/>
          <w:u w:val="none"/>
        </w:rPr>
      </w:pPr>
      <w:r w:rsidRPr="00000000" w:rsidR="00000000" w:rsidDel="00000000">
        <w:rPr>
          <w:b w:val="1"/>
          <w:sz w:val="22"/>
          <w:rtl w:val="0"/>
        </w:rPr>
        <w:t xml:space="preserve">OK-hosted OkACTE Summer Conference with approximately 4,000 CTE employees attending along with business and industry partners. Many were honored for their continued support. </w:t>
      </w:r>
    </w:p>
    <w:p w:rsidP="00000000" w:rsidRPr="00000000" w:rsidR="00000000" w:rsidDel="00000000" w:rsidRDefault="00000000">
      <w:pPr>
        <w:numPr>
          <w:ilvl w:val="0"/>
          <w:numId w:val="4"/>
        </w:numPr>
        <w:spacing w:lineRule="auto" w:after="0" w:line="240" w:before="0"/>
        <w:ind w:left="720" w:hanging="359"/>
        <w:contextualSpacing w:val="1"/>
        <w:rPr>
          <w:b w:val="1"/>
          <w:sz w:val="22"/>
          <w:u w:val="none"/>
        </w:rPr>
      </w:pPr>
      <w:r w:rsidRPr="00000000" w:rsidR="00000000" w:rsidDel="00000000">
        <w:rPr>
          <w:b w:val="1"/>
          <w:sz w:val="22"/>
          <w:rtl w:val="0"/>
        </w:rPr>
        <w:t xml:space="preserve">MS-hosted their summer conference honoring members for years of service and also awards for their accomplishments. MS had the highest gain in membership. They are very pleased with the success they are  having in their state with the increased membership and awareness of the importance of CTE.</w:t>
      </w:r>
    </w:p>
    <w:p w:rsidP="00000000" w:rsidRPr="00000000" w:rsidR="00000000" w:rsidDel="00000000" w:rsidRDefault="00000000">
      <w:pPr>
        <w:numPr>
          <w:ilvl w:val="0"/>
          <w:numId w:val="4"/>
        </w:numPr>
        <w:spacing w:lineRule="auto" w:after="0" w:line="240" w:before="0"/>
        <w:ind w:left="720" w:hanging="359"/>
        <w:contextualSpacing w:val="1"/>
        <w:rPr>
          <w:b w:val="1"/>
          <w:sz w:val="22"/>
          <w:u w:val="none"/>
        </w:rPr>
      </w:pPr>
      <w:r w:rsidRPr="00000000" w:rsidR="00000000" w:rsidDel="00000000">
        <w:rPr>
          <w:b w:val="1"/>
          <w:sz w:val="22"/>
          <w:rtl w:val="0"/>
        </w:rPr>
        <w:t xml:space="preserve">AR-hosted summer conference with interactive sessions and Business/Leadership focus in many areas. They also honored many members for their accomplishments and highlighted social networking during their conference with the ACTE TOY as their keynote speaker.</w:t>
      </w:r>
    </w:p>
    <w:p w:rsidP="00000000" w:rsidRPr="00000000" w:rsidR="00000000" w:rsidDel="00000000" w:rsidRDefault="00000000">
      <w:pPr>
        <w:numPr>
          <w:ilvl w:val="0"/>
          <w:numId w:val="4"/>
        </w:numPr>
        <w:spacing w:lineRule="auto" w:after="0" w:line="240" w:before="0"/>
        <w:ind w:left="720" w:hanging="359"/>
        <w:contextualSpacing w:val="1"/>
        <w:rPr>
          <w:b w:val="1"/>
          <w:sz w:val="22"/>
          <w:u w:val="none"/>
        </w:rPr>
      </w:pPr>
      <w:r w:rsidRPr="00000000" w:rsidR="00000000" w:rsidDel="00000000">
        <w:rPr>
          <w:b w:val="1"/>
          <w:sz w:val="22"/>
          <w:rtl w:val="0"/>
        </w:rPr>
        <w:t xml:space="preserve">TX and NM provided professional development through their conferences with business and industry representation and involvement.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numPr>
          <w:ilvl w:val="0"/>
          <w:numId w:val="3"/>
        </w:numPr>
        <w:ind w:left="360" w:hanging="359"/>
        <w:rPr/>
      </w:pPr>
      <w:r w:rsidRPr="00000000" w:rsidR="00000000" w:rsidDel="00000000">
        <w:rPr>
          <w:rFonts w:cs="Times New Roman" w:hAnsi="Times New Roman" w:eastAsia="Times New Roman" w:ascii="Times New Roman"/>
          <w:sz w:val="22"/>
          <w:vertAlign w:val="baseline"/>
          <w:rtl w:val="0"/>
        </w:rPr>
        <w:t xml:space="preserve">Division/Region Accomplishments in the area of Membership:</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2"/>
          <w:u w:val="none"/>
          <w:vertAlign w:val="baseline"/>
        </w:rPr>
      </w:pPr>
      <w:r w:rsidRPr="00000000" w:rsidR="00000000" w:rsidDel="00000000">
        <w:rPr>
          <w:sz w:val="22"/>
          <w:rtl w:val="0"/>
        </w:rPr>
        <w:t xml:space="preserve">Region IV saw improvement in membership with MS increasing membership with the highest gain over all. LA became a unified state and OK is working to improve lapsed membership due to a new Information Management System. TX and AR are reaching out to members who have lapsed or retired and working to retain those members while recruiting new membership also.</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contextualSpacing w:val="1"/>
        <w:rPr/>
      </w:pPr>
      <w:r w:rsidRPr="00000000" w:rsidR="00000000" w:rsidDel="00000000">
        <w:rPr>
          <w:rFonts w:cs="Times New Roman" w:hAnsi="Times New Roman" w:eastAsia="Times New Roman" w:ascii="Times New Roman"/>
          <w:b w:val="1"/>
          <w:sz w:val="22"/>
          <w:vertAlign w:val="baseline"/>
          <w:rtl w:val="0"/>
        </w:rPr>
        <w:t xml:space="preserve">Individual VP activities to support Division/Region and Board goals :</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Communicated regularly with Region IV State Leadership and Policy Committee members</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Shared the ACTE Public Policy weekly reports with policy committee members.</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Promoted ACTE VISION through the quarterly newsletter.</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Participated in Region VP conference calls.</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Attended OkACTE, MS, and AR summer conferences.</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Attended OkACTE Leadership Seminar</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Attended Region III Conference in Peoria, IL</w:t>
      </w:r>
    </w:p>
    <w:p w:rsidP="00000000" w:rsidRPr="00000000" w:rsidR="00000000" w:rsidDel="00000000" w:rsidRDefault="00000000">
      <w:pPr>
        <w:numPr>
          <w:ilvl w:val="0"/>
          <w:numId w:val="2"/>
        </w:numPr>
        <w:spacing w:lineRule="auto" w:after="0" w:line="240" w:before="0"/>
        <w:ind w:left="720" w:hanging="359"/>
        <w:contextualSpacing w:val="1"/>
        <w:rPr>
          <w:b w:val="1"/>
          <w:sz w:val="22"/>
          <w:u w:val="none"/>
        </w:rPr>
      </w:pPr>
      <w:r w:rsidRPr="00000000" w:rsidR="00000000" w:rsidDel="00000000">
        <w:rPr>
          <w:b w:val="1"/>
          <w:sz w:val="22"/>
          <w:rtl w:val="0"/>
        </w:rPr>
        <w:t xml:space="preserve">Prepared the Region IV quarterly newsletter</w:t>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contextualSpacing w:val="1"/>
        <w:rPr/>
      </w:pPr>
      <w:r w:rsidRPr="00000000" w:rsidR="00000000" w:rsidDel="00000000">
        <w:rPr>
          <w:rFonts w:cs="Times New Roman" w:hAnsi="Times New Roman" w:eastAsia="Times New Roman" w:ascii="Times New Roman"/>
          <w:b w:val="1"/>
          <w:sz w:val="22"/>
          <w:vertAlign w:val="baseline"/>
          <w:rtl w:val="0"/>
        </w:rPr>
        <w:t xml:space="preserve">Potential candidates for future Board of Directors Elections:</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0" w:line="240" w:before="0"/>
        <w:ind w:left="1080" w:hanging="359"/>
        <w:contextualSpacing w:val="1"/>
        <w:rPr/>
      </w:pPr>
      <w:r w:rsidRPr="00000000" w:rsidR="00000000" w:rsidDel="00000000">
        <w:rPr>
          <w:rFonts w:cs="Times New Roman" w:hAnsi="Times New Roman" w:eastAsia="Times New Roman" w:ascii="Times New Roman"/>
          <w:b w:val="1"/>
          <w:sz w:val="22"/>
          <w:vertAlign w:val="baseline"/>
          <w:rtl w:val="0"/>
        </w:rPr>
        <w:t xml:space="preserve">Region/Division Vice President potential candidates contacted:</w:t>
      </w:r>
    </w:p>
    <w:p w:rsidP="00000000" w:rsidRPr="00000000" w:rsidR="00000000" w:rsidDel="00000000" w:rsidRDefault="00000000">
      <w:pPr>
        <w:numPr>
          <w:ilvl w:val="0"/>
          <w:numId w:val="1"/>
        </w:numPr>
        <w:spacing w:lineRule="auto" w:after="0" w:line="240" w:before="0"/>
        <w:ind w:left="1440" w:hanging="359"/>
        <w:contextualSpacing w:val="1"/>
        <w:rPr>
          <w:b w:val="1"/>
          <w:sz w:val="22"/>
          <w:u w:val="none"/>
        </w:rPr>
      </w:pPr>
      <w:r w:rsidRPr="00000000" w:rsidR="00000000" w:rsidDel="00000000">
        <w:rPr>
          <w:b w:val="1"/>
          <w:sz w:val="22"/>
          <w:rtl w:val="0"/>
        </w:rPr>
        <w:t xml:space="preserve">Sherry Siler, AR is the Region IV VP-Elect. Names for potential candidates will be sought in the next year for future VP’s.</w:t>
      </w:r>
    </w:p>
    <w:p w:rsidP="00000000" w:rsidRPr="00000000" w:rsidR="00000000" w:rsidDel="00000000" w:rsidRDefault="00000000">
      <w:pPr>
        <w:spacing w:lineRule="auto" w:after="0" w:line="240" w:before="0"/>
        <w:ind w:left="720" w:firstLine="720"/>
        <w:contextualSpacing w:val="0"/>
      </w:pPr>
      <w:r w:rsidRPr="00000000" w:rsidR="00000000" w:rsidDel="00000000">
        <w:rPr>
          <w:rtl w:val="0"/>
        </w:rPr>
      </w:r>
    </w:p>
    <w:p w:rsidP="00000000" w:rsidRPr="00000000" w:rsidR="00000000" w:rsidDel="00000000" w:rsidRDefault="00000000">
      <w:pPr>
        <w:spacing w:lineRule="auto" w:after="0" w:line="240" w:before="0"/>
        <w:ind w:left="720" w:firstLine="720"/>
        <w:contextualSpacing w:val="0"/>
      </w:pPr>
      <w:r w:rsidRPr="00000000" w:rsidR="00000000" w:rsidDel="00000000">
        <w:rPr>
          <w:rtl w:val="0"/>
        </w:rPr>
      </w:r>
    </w:p>
    <w:p w:rsidP="00000000" w:rsidRPr="00000000" w:rsidR="00000000" w:rsidDel="00000000" w:rsidRDefault="00000000">
      <w:pPr>
        <w:ind w:left="360" w:hanging="359"/>
        <w:contextualSpacing w:val="0"/>
      </w:pPr>
      <w:bookmarkStart w:id="1" w:colFirst="0" w:name="h.30j0zll" w:colLast="0"/>
      <w:bookmarkEnd w:id="1"/>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rPr/>
      </w:pPr>
      <w:r w:rsidRPr="00000000" w:rsidR="00000000" w:rsidDel="00000000">
        <w:rPr>
          <w:rFonts w:cs="Times New Roman" w:hAnsi="Times New Roman" w:eastAsia="Times New Roman" w:ascii="Times New Roman"/>
          <w:b w:val="1"/>
          <w:sz w:val="22"/>
          <w:vertAlign w:val="baseline"/>
          <w:rtl w:val="0"/>
        </w:rPr>
        <w:t xml:space="preserve">Division/region Concerns for CTE/ACTE Board Report:</w:t>
      </w:r>
    </w:p>
    <w:p w:rsidP="00000000" w:rsidRPr="00000000" w:rsidR="00000000" w:rsidDel="00000000" w:rsidRDefault="00000000">
      <w:pPr>
        <w:ind w:left="360" w:firstLine="0"/>
        <w:contextualSpacing w:val="0"/>
      </w:pPr>
      <w:r w:rsidRPr="00000000" w:rsidR="00000000" w:rsidDel="00000000">
        <w:rPr>
          <w:rtl w:val="0"/>
        </w:rPr>
      </w:r>
    </w:p>
    <w:tbl>
      <w:tblPr>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989"/>
        <w:gridCol w:w="3621"/>
        <w:gridCol w:w="2966"/>
        <w:gridCol w:w="-72"/>
        <w:gridCol w:w="-72"/>
        <w:gridCol w:w="-72"/>
      </w:tblGrid>
      <w:tr>
        <w:trPr>
          <w:trHeight w:val="70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What are your concerns for CTE?</w:t>
            </w:r>
          </w:p>
        </w:tc>
        <w:tc>
          <w:tcPr>
            <w:tcMar>
              <w:top w:w="100.0" w:type="dxa"/>
              <w:left w:w="108.0" w:type="dxa"/>
              <w:bottom w:w="100.0" w:type="dxa"/>
              <w:right w:w="108.0" w:type="dxa"/>
            </w:tcMar>
          </w:tcPr>
          <w:p w:rsidP="00000000" w:rsidRPr="00000000" w:rsidR="00000000" w:rsidDel="00000000" w:rsidRDefault="00000000">
            <w:pPr>
              <w:ind w:left="360"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What are the implications for ACTE?</w:t>
            </w:r>
          </w:p>
        </w:tc>
        <w:tc>
          <w:tcPr>
            <w:tcMar>
              <w:top w:w="100.0" w:type="dxa"/>
              <w:left w:w="108.0" w:type="dxa"/>
              <w:bottom w:w="100.0" w:type="dxa"/>
              <w:right w:w="108.0" w:type="dxa"/>
            </w:tcMar>
          </w:tcPr>
          <w:p w:rsidP="00000000" w:rsidRPr="00000000" w:rsidR="00000000" w:rsidDel="00000000" w:rsidRDefault="00000000">
            <w:pPr>
              <w:ind w:left="360"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What should the Board do to address this issue?</w:t>
            </w:r>
          </w:p>
        </w:tc>
      </w:tr>
      <w:tr>
        <w:trPr>
          <w:trHeight w:val="24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b w:val="1"/>
                <w:sz w:val="22"/>
                <w:rtl w:val="0"/>
              </w:rPr>
              <w:t xml:space="preserve">Funding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b w:val="1"/>
                <w:sz w:val="22"/>
                <w:rtl w:val="0"/>
              </w:rPr>
              <w:t xml:space="preserve">Continued cuts in programs are resulting in loss of membership at all levels.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b w:val="1"/>
                <w:sz w:val="22"/>
                <w:rtl w:val="0"/>
              </w:rPr>
              <w:t xml:space="preserve">Continue advocacy efforts on all levels and communication to the membership on efforts put in place to prevent more cuts.</w:t>
            </w:r>
            <w:r w:rsidRPr="00000000" w:rsidR="00000000" w:rsidDel="00000000">
              <w:rPr>
                <w:rtl w:val="0"/>
              </w:rPr>
            </w:r>
          </w:p>
        </w:tc>
      </w:tr>
      <w:tr>
        <w:trPr>
          <w:trHeight w:val="26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r>
      <w:tr>
        <w:trPr>
          <w:trHeight w:val="26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r>
    </w:tbl>
    <w:p w:rsidP="00000000" w:rsidRPr="00000000" w:rsidR="00000000" w:rsidDel="00000000" w:rsidRDefault="00000000">
      <w:pPr>
        <w:ind w:left="360" w:firstLine="0"/>
        <w:contextualSpacing w:val="0"/>
      </w:pPr>
      <w:r w:rsidRPr="00000000" w:rsidR="00000000" w:rsidDel="00000000">
        <w:rPr>
          <w:rtl w:val="0"/>
        </w:rPr>
      </w:r>
    </w:p>
    <w:tbl>
      <w:tblPr>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985"/>
        <w:gridCol w:w="3626"/>
        <w:gridCol w:w="2965"/>
        <w:gridCol w:w="-72"/>
        <w:gridCol w:w="-72"/>
        <w:gridCol w:w="-72"/>
      </w:tblGrid>
      <w:tr>
        <w:trPr>
          <w:trHeight w:val="72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What are your concerns for ACTE?</w:t>
            </w:r>
          </w:p>
        </w:tc>
        <w:tc>
          <w:tcPr>
            <w:tcMar>
              <w:top w:w="100.0" w:type="dxa"/>
              <w:left w:w="108.0" w:type="dxa"/>
              <w:bottom w:w="100.0" w:type="dxa"/>
              <w:right w:w="108.0" w:type="dxa"/>
            </w:tcMar>
          </w:tcPr>
          <w:p w:rsidP="00000000" w:rsidRPr="00000000" w:rsidR="00000000" w:rsidDel="00000000" w:rsidRDefault="00000000">
            <w:pPr>
              <w:ind w:left="360"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What are the implications for ACTE?</w:t>
            </w:r>
          </w:p>
        </w:tc>
        <w:tc>
          <w:tcPr>
            <w:tcMar>
              <w:top w:w="100.0" w:type="dxa"/>
              <w:left w:w="108.0" w:type="dxa"/>
              <w:bottom w:w="100.0" w:type="dxa"/>
              <w:right w:w="108.0" w:type="dxa"/>
            </w:tcMar>
          </w:tcPr>
          <w:p w:rsidP="00000000" w:rsidRPr="00000000" w:rsidR="00000000" w:rsidDel="00000000" w:rsidRDefault="00000000">
            <w:pPr>
              <w:ind w:left="360" w:firstLine="0"/>
              <w:contextualSpacing w:val="0"/>
              <w:jc w:val="center"/>
            </w:pPr>
            <w:r w:rsidRPr="00000000" w:rsidR="00000000" w:rsidDel="00000000">
              <w:rPr>
                <w:rFonts w:cs="Times New Roman" w:hAnsi="Times New Roman" w:eastAsia="Times New Roman" w:ascii="Times New Roman"/>
                <w:b w:val="1"/>
                <w:sz w:val="22"/>
                <w:vertAlign w:val="baseline"/>
                <w:rtl w:val="0"/>
              </w:rPr>
              <w:t xml:space="preserve">What should the Board do to address this issue?</w:t>
            </w:r>
          </w:p>
        </w:tc>
      </w:tr>
      <w:tr>
        <w:trPr>
          <w:trHeight w:val="24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b w:val="1"/>
                <w:sz w:val="22"/>
                <w:rtl w:val="0"/>
              </w:rPr>
              <w:t xml:space="preserve">MEMBERSHIP</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b w:val="1"/>
                <w:sz w:val="22"/>
                <w:rtl w:val="0"/>
              </w:rPr>
              <w:t xml:space="preserve">Decreases continue to have a major financial impact at both the state and national levels.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b w:val="1"/>
                <w:sz w:val="22"/>
                <w:rtl w:val="0"/>
              </w:rPr>
              <w:t xml:space="preserve">Reach out to the states to increase communication and also continue to advocate the value of the membership. </w:t>
            </w:r>
            <w:r w:rsidRPr="00000000" w:rsidR="00000000" w:rsidDel="00000000">
              <w:rPr>
                <w:rtl w:val="0"/>
              </w:rPr>
            </w:r>
          </w:p>
        </w:tc>
      </w:tr>
      <w:tr>
        <w:trPr>
          <w:trHeight w:val="26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r>
      <w:tr>
        <w:trPr>
          <w:trHeight w:val="260" w:hRule="atLeast"/>
        </w:trPr>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ind w:left="360" w:firstLine="0"/>
              <w:contextualSpacing w:val="0"/>
            </w:pPr>
            <w:r w:rsidRPr="00000000" w:rsidR="00000000" w:rsidDel="00000000">
              <w:rPr>
                <w:rtl w:val="0"/>
              </w:rPr>
            </w:r>
          </w:p>
        </w:tc>
      </w:tr>
    </w:tbl>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contextualSpacing w:val="1"/>
        <w:rPr/>
      </w:pPr>
      <w:r w:rsidRPr="00000000" w:rsidR="00000000" w:rsidDel="00000000">
        <w:rPr>
          <w:rFonts w:cs="Times New Roman" w:hAnsi="Times New Roman" w:eastAsia="Times New Roman" w:ascii="Times New Roman"/>
          <w:b w:val="1"/>
          <w:sz w:val="22"/>
          <w:vertAlign w:val="baseline"/>
          <w:rtl w:val="0"/>
        </w:rPr>
        <w:t xml:space="preserve">Items To Be Placed on Board Agenda for Discussion</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Times New Roman" w:hAnsi="Times New Roman" w:eastAsia="Times New Roman" w:ascii="Times New Roman"/>
          <w:i w:val="1"/>
          <w:sz w:val="22"/>
          <w:vertAlign w:val="baseline"/>
          <w:rtl w:val="0"/>
        </w:rPr>
        <w:t xml:space="preserve">(Only include items that require Board discussion or action. These will be placed on the Board meeting agenda.)</w:t>
      </w:r>
    </w:p>
    <w:p w:rsidP="00000000" w:rsidRPr="00000000" w:rsidR="00000000" w:rsidDel="00000000" w:rsidRDefault="00000000">
      <w:pPr>
        <w:ind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cs="Arial" w:hAnsi="Arial" w:eastAsia="Arial" w:ascii="Arial"/>
        <w:vertAlign w:val="baseline"/>
      </w:rPr>
    </w:lvl>
    <w:lvl w:ilvl="1">
      <w:start w:val="1"/>
      <w:numFmt w:val="lowerLetter"/>
      <w:lvlText w:val="%2."/>
      <w:lvlJc w:val="left"/>
      <w:pPr>
        <w:ind w:left="1440" w:firstLine="1080"/>
      </w:pPr>
      <w:rPr>
        <w:rFonts w:cs="Arial" w:hAnsi="Arial" w:eastAsia="Arial" w:ascii="Arial"/>
        <w:vertAlign w:val="baseline"/>
      </w:rPr>
    </w:lvl>
    <w:lvl w:ilvl="2">
      <w:start w:val="1"/>
      <w:numFmt w:val="lowerRoman"/>
      <w:lvlText w:val="%3."/>
      <w:lvlJc w:val="lef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lef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left"/>
      <w:pPr>
        <w:ind w:left="6480" w:firstLine="6300"/>
      </w:pPr>
      <w:rPr>
        <w:rFonts w:cs="Arial" w:hAnsi="Arial" w:eastAsia="Arial" w:asci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0" w:line="240" w:before="480"/>
      <w:ind w:left="0" w:firstLine="0" w:right="0"/>
      <w:jc w:val="left"/>
    </w:pPr>
    <w:rPr>
      <w:rFonts w:cs="Cambria" w:hAnsi="Cambria" w:eastAsia="Cambria" w:ascii="Cambria"/>
      <w:b w:val="1"/>
      <w:i w:val="0"/>
      <w:smallCaps w:val="0"/>
      <w:strike w:val="0"/>
      <w:color w:val="365f91"/>
      <w:sz w:val="28"/>
      <w:u w:val="none"/>
      <w:vertAlign w:val="baseline"/>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Report to the Board Form.doc.docx</dc:title>
</cp:coreProperties>
</file>